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DC" w:rsidRDefault="001E79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79DC" w:rsidRDefault="001E79D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E79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9DC" w:rsidRDefault="001E79DC">
            <w:pPr>
              <w:pStyle w:val="ConsPlusNormal"/>
            </w:pPr>
            <w:r>
              <w:t>5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9DC" w:rsidRDefault="001E79DC">
            <w:pPr>
              <w:pStyle w:val="ConsPlusNormal"/>
              <w:jc w:val="right"/>
            </w:pPr>
            <w:r>
              <w:t>1237-З N 29-V</w:t>
            </w:r>
          </w:p>
        </w:tc>
      </w:tr>
    </w:tbl>
    <w:p w:rsidR="001E79DC" w:rsidRDefault="001E79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9DC" w:rsidRDefault="001E79DC">
      <w:pPr>
        <w:pStyle w:val="ConsPlusNormal"/>
        <w:jc w:val="both"/>
      </w:pPr>
    </w:p>
    <w:p w:rsidR="001E79DC" w:rsidRDefault="001E79DC">
      <w:pPr>
        <w:pStyle w:val="ConsPlusTitle"/>
        <w:jc w:val="center"/>
      </w:pPr>
      <w:r>
        <w:t>ЗАКОН</w:t>
      </w:r>
    </w:p>
    <w:p w:rsidR="001E79DC" w:rsidRDefault="001E79DC">
      <w:pPr>
        <w:pStyle w:val="ConsPlusTitle"/>
        <w:jc w:val="center"/>
      </w:pPr>
    </w:p>
    <w:p w:rsidR="001E79DC" w:rsidRDefault="001E79DC">
      <w:pPr>
        <w:pStyle w:val="ConsPlusTitle"/>
        <w:jc w:val="center"/>
      </w:pPr>
      <w:r>
        <w:t>РЕСПУБЛИКИ САХА (ЯКУТИЯ)</w:t>
      </w:r>
    </w:p>
    <w:p w:rsidR="001E79DC" w:rsidRDefault="001E79DC">
      <w:pPr>
        <w:pStyle w:val="ConsPlusTitle"/>
        <w:jc w:val="center"/>
      </w:pPr>
    </w:p>
    <w:p w:rsidR="001E79DC" w:rsidRDefault="001E79DC">
      <w:pPr>
        <w:pStyle w:val="ConsPlusTitle"/>
        <w:jc w:val="center"/>
      </w:pPr>
      <w:r>
        <w:t>О ПОТРЕБИТЕЛЬСКОЙ КОРЗИНЕ В РЕСПУБЛИКЕ САХА (ЯКУТИЯ)</w:t>
      </w:r>
    </w:p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</w:t>
      </w:r>
      <w:hyperlink r:id="rId5" w:history="1">
        <w:r>
          <w:rPr>
            <w:color w:val="0000FF"/>
          </w:rPr>
          <w:t>постановлением</w:t>
        </w:r>
      </w:hyperlink>
    </w:p>
    <w:p w:rsidR="001E79DC" w:rsidRDefault="001E79DC">
      <w:pPr>
        <w:pStyle w:val="ConsPlusNormal"/>
        <w:jc w:val="right"/>
      </w:pPr>
      <w:r>
        <w:t>Государственного Собрания (Ил Тумэн)</w:t>
      </w:r>
    </w:p>
    <w:p w:rsidR="001E79DC" w:rsidRDefault="001E79DC">
      <w:pPr>
        <w:pStyle w:val="ConsPlusNormal"/>
        <w:jc w:val="right"/>
      </w:pPr>
      <w:r>
        <w:t>Республики Саха (Якутия)</w:t>
      </w:r>
    </w:p>
    <w:p w:rsidR="001E79DC" w:rsidRDefault="001E79DC">
      <w:pPr>
        <w:pStyle w:val="ConsPlusNormal"/>
        <w:jc w:val="right"/>
      </w:pPr>
      <w:r>
        <w:t xml:space="preserve">от 05.12.2013 </w:t>
      </w:r>
      <w:proofErr w:type="gramStart"/>
      <w:r>
        <w:t>З</w:t>
      </w:r>
      <w:proofErr w:type="gramEnd"/>
      <w:r>
        <w:t xml:space="preserve"> N 30-V</w:t>
      </w:r>
    </w:p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года N 227-ФЗ "О потребительской корзине в целом по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2013 года N 54 "Об утверждении методических рекомендаций по определению потребительской корзины для основных социально-демографических групп населения в субъектах Российской Федерации" определяет назначение потребительской корзины, границы зон Республики Саха (Якутия) для ее установления, а также состав и объем минимальных наборов потребительской корзины для основных социально-демографических групп населения в Республике Саха (Якутия).</w:t>
      </w:r>
    </w:p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1E79DC" w:rsidRDefault="001E79DC">
      <w:pPr>
        <w:pStyle w:val="ConsPlusNormal"/>
        <w:spacing w:before="260"/>
        <w:ind w:firstLine="540"/>
        <w:jc w:val="both"/>
      </w:pPr>
      <w:r>
        <w:t>1) потребительская корзина - необходимый для сохранения здоровья человека и обеспечения его жизнедеятельности минимальный набор продуктов питания, а также непродовольственные товары и услуги, стоимость которых определяется в соотношении со стоимостью минимального набора продуктов питания;</w:t>
      </w:r>
    </w:p>
    <w:p w:rsidR="001E79DC" w:rsidRDefault="001E79DC">
      <w:pPr>
        <w:pStyle w:val="ConsPlusNormal"/>
        <w:spacing w:before="260"/>
        <w:ind w:firstLine="540"/>
        <w:jc w:val="both"/>
      </w:pPr>
      <w:r>
        <w:t>2) прожиточный минимум - стоимостная оценка потребительской корзины, а также обязательные платежи и сборы;</w:t>
      </w:r>
    </w:p>
    <w:p w:rsidR="001E79DC" w:rsidRDefault="001E79DC">
      <w:pPr>
        <w:pStyle w:val="ConsPlusNormal"/>
        <w:spacing w:before="260"/>
        <w:ind w:firstLine="540"/>
        <w:jc w:val="both"/>
      </w:pPr>
      <w:r>
        <w:t>3) основные социально-демографические группы населения - трудоспособное население, пенсионеры, дети.</w:t>
      </w:r>
    </w:p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ind w:firstLine="540"/>
        <w:jc w:val="both"/>
        <w:outlineLvl w:val="0"/>
      </w:pPr>
      <w:r>
        <w:t>Статья 2. Назначение потребительской корзины и периодичность ее определения</w:t>
      </w:r>
    </w:p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ind w:firstLine="540"/>
        <w:jc w:val="both"/>
      </w:pPr>
      <w:r>
        <w:t>1. Потребительская корзина предназначается для определения величины прожиточного минимума на душу населения и по основным социально-</w:t>
      </w:r>
      <w:r>
        <w:lastRenderedPageBreak/>
        <w:t>демографическим группам населения в Республике Саха (Якутия).</w:t>
      </w:r>
    </w:p>
    <w:p w:rsidR="001E79DC" w:rsidRDefault="001E79DC">
      <w:pPr>
        <w:pStyle w:val="ConsPlusNormal"/>
        <w:spacing w:before="260"/>
        <w:ind w:firstLine="540"/>
        <w:jc w:val="both"/>
      </w:pPr>
      <w:r>
        <w:t>2. Потребительская корзина для основных социально-демографических групп населения в Республике Саха (Якутия) определяется не реже одного раза в пять лет.</w:t>
      </w:r>
    </w:p>
    <w:p w:rsidR="001E79DC" w:rsidRDefault="001E79DC">
      <w:pPr>
        <w:pStyle w:val="ConsPlusNormal"/>
        <w:spacing w:before="260"/>
        <w:ind w:firstLine="540"/>
        <w:jc w:val="both"/>
      </w:pPr>
      <w:r>
        <w:t>3. Потребительская корзина для основных социально-демографических групп населения в Республике Саха (Якутия) разрабатывается с участием Республиканской трехсторонней комиссии по регулированию социально-трудовых отношений.</w:t>
      </w:r>
    </w:p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ind w:firstLine="540"/>
        <w:jc w:val="both"/>
        <w:outlineLvl w:val="0"/>
      </w:pPr>
      <w:r>
        <w:t>Статья 3. Определение границ зон Республики Саха (Якутия) для установления потребительской корзины</w:t>
      </w:r>
    </w:p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ind w:firstLine="540"/>
        <w:jc w:val="both"/>
      </w:pPr>
      <w:r>
        <w:t>1. Потребительская корзина для основных социально-демографических групп населения в Республике Саха (Якутия) устанавливается по зонам: первой зоне Республики Саха (Якутия) и второй зоне Республики Саха (Якутия).</w:t>
      </w:r>
    </w:p>
    <w:p w:rsidR="001E79DC" w:rsidRDefault="001E79DC">
      <w:pPr>
        <w:pStyle w:val="ConsPlusNormal"/>
        <w:spacing w:before="260"/>
        <w:ind w:firstLine="540"/>
        <w:jc w:val="both"/>
      </w:pPr>
      <w:r>
        <w:t>2. К первой зоне Республики Саха (Якутия) относятся Абыйский, Аллаиховский, Анабарский, Булунский, Верхнеколымский, Верхоянский, Жиганский, Момский, Нижнеколымский, Оймяконский, Оленекский, Среднеколымский, Усть-Янский и Эвено-Бытантайский улусы (районы), а также поселок Айхал с населенными пунктами и город Удачный с населенными пунктами Мирнинского улуса (района).</w:t>
      </w:r>
    </w:p>
    <w:p w:rsidR="001E79DC" w:rsidRDefault="001E79DC">
      <w:pPr>
        <w:pStyle w:val="ConsPlusNormal"/>
        <w:spacing w:before="260"/>
        <w:ind w:firstLine="540"/>
        <w:jc w:val="both"/>
      </w:pPr>
      <w:r>
        <w:t>3. Ко второй зоне Республики Саха (Якутия) относятся Алданский, Амгинский, Верхневилюйский, Вилюйский, Горный, Кобяйский, Ленский, Мегино-Кангаласский, Мирнинский (кроме поселка Айхал с населенными пунктами и города Удачного с населенными пунктами), Намский, Нерюнгринский, Нюрбинский, Олекминский, Сунтарский, Таттинский, Томпонский, Усть-Алданский, Усть-Майский, Хангаласский и Чурапчинский улусы (районы), а также город республиканского значения Якутск.</w:t>
      </w:r>
    </w:p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ind w:firstLine="540"/>
        <w:jc w:val="both"/>
        <w:outlineLvl w:val="0"/>
      </w:pPr>
      <w:r>
        <w:t>Статья 4. Состав и объем минимальных наборов потребительской корзины</w:t>
      </w:r>
    </w:p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ind w:firstLine="540"/>
        <w:jc w:val="both"/>
      </w:pPr>
      <w:r>
        <w:t>1. Продукты питания, включаемые в потребительскую корзину для основных социально-демографических групп населения в Республике Саха (Якутия), устанавливаются в следующих составе и объемах (в натуральных показателях):</w:t>
      </w:r>
    </w:p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jc w:val="center"/>
        <w:outlineLvl w:val="1"/>
      </w:pPr>
      <w:r>
        <w:t>Первая зона Республики Саха (Якутия)</w:t>
      </w:r>
    </w:p>
    <w:p w:rsidR="001E79DC" w:rsidRDefault="001E79D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36"/>
        <w:gridCol w:w="1353"/>
        <w:gridCol w:w="1968"/>
        <w:gridCol w:w="1476"/>
        <w:gridCol w:w="984"/>
      </w:tblGrid>
      <w:tr w:rsidR="001E79DC">
        <w:trPr>
          <w:trHeight w:val="252"/>
        </w:trPr>
        <w:tc>
          <w:tcPr>
            <w:tcW w:w="3936" w:type="dxa"/>
            <w:vMerge w:val="restart"/>
          </w:tcPr>
          <w:p w:rsidR="001E79DC" w:rsidRDefault="001E79DC">
            <w:pPr>
              <w:pStyle w:val="ConsPlusNonformat"/>
              <w:jc w:val="both"/>
            </w:pPr>
          </w:p>
          <w:p w:rsidR="001E79DC" w:rsidRDefault="001E79DC">
            <w:pPr>
              <w:pStyle w:val="ConsPlusNonformat"/>
              <w:jc w:val="both"/>
            </w:pPr>
          </w:p>
          <w:p w:rsidR="001E79DC" w:rsidRDefault="001E79DC">
            <w:pPr>
              <w:pStyle w:val="ConsPlusNonformat"/>
              <w:jc w:val="both"/>
            </w:pPr>
            <w:r>
              <w:t xml:space="preserve">         Наименование         </w:t>
            </w:r>
          </w:p>
        </w:tc>
        <w:tc>
          <w:tcPr>
            <w:tcW w:w="1353" w:type="dxa"/>
            <w:vMerge w:val="restart"/>
          </w:tcPr>
          <w:p w:rsidR="001E79DC" w:rsidRDefault="001E79DC">
            <w:pPr>
              <w:pStyle w:val="ConsPlusNonformat"/>
              <w:jc w:val="both"/>
            </w:pPr>
          </w:p>
          <w:p w:rsidR="001E79DC" w:rsidRDefault="001E79DC">
            <w:pPr>
              <w:pStyle w:val="ConsPlusNonformat"/>
              <w:jc w:val="both"/>
            </w:pPr>
            <w:r>
              <w:t xml:space="preserve"> Единица </w:t>
            </w:r>
          </w:p>
          <w:p w:rsidR="001E79DC" w:rsidRDefault="001E79DC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4428" w:type="dxa"/>
            <w:gridSpan w:val="3"/>
          </w:tcPr>
          <w:p w:rsidR="001E79DC" w:rsidRDefault="001E79DC">
            <w:pPr>
              <w:pStyle w:val="ConsPlusNonformat"/>
              <w:jc w:val="both"/>
            </w:pPr>
            <w:proofErr w:type="gramStart"/>
            <w:r>
              <w:t xml:space="preserve">Объем потребления (в среднем на </w:t>
            </w:r>
            <w:proofErr w:type="gramEnd"/>
          </w:p>
          <w:p w:rsidR="001E79DC" w:rsidRDefault="001E79DC">
            <w:pPr>
              <w:pStyle w:val="ConsPlusNonformat"/>
              <w:jc w:val="both"/>
            </w:pPr>
            <w:r>
              <w:t xml:space="preserve">     одного человека в год)     </w:t>
            </w:r>
          </w:p>
        </w:tc>
      </w:tr>
      <w:tr w:rsidR="001E79DC">
        <w:tc>
          <w:tcPr>
            <w:tcW w:w="3813" w:type="dxa"/>
            <w:vMerge/>
            <w:tcBorders>
              <w:top w:val="nil"/>
            </w:tcBorders>
          </w:tcPr>
          <w:p w:rsidR="001E79DC" w:rsidRDefault="001E79DC"/>
        </w:tc>
        <w:tc>
          <w:tcPr>
            <w:tcW w:w="1230" w:type="dxa"/>
            <w:vMerge/>
            <w:tcBorders>
              <w:top w:val="nil"/>
            </w:tcBorders>
          </w:tcPr>
          <w:p w:rsidR="001E79DC" w:rsidRDefault="001E79DC"/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>трудоспособное</w:t>
            </w:r>
          </w:p>
          <w:p w:rsidR="001E79DC" w:rsidRDefault="001E79DC">
            <w:pPr>
              <w:pStyle w:val="ConsPlusNonformat"/>
              <w:jc w:val="both"/>
            </w:pPr>
            <w:r>
              <w:t xml:space="preserve">  население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>пенсионеры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дети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proofErr w:type="gramStart"/>
            <w:r>
              <w:t>Хлебные   продукты   (хлеб   и</w:t>
            </w:r>
            <w:proofErr w:type="gramEnd"/>
          </w:p>
          <w:p w:rsidR="001E79DC" w:rsidRDefault="001E79DC">
            <w:pPr>
              <w:pStyle w:val="ConsPlusNonformat"/>
              <w:jc w:val="both"/>
            </w:pPr>
            <w:r>
              <w:t>макаронные изделия в пересчете</w:t>
            </w:r>
          </w:p>
          <w:p w:rsidR="001E79DC" w:rsidRDefault="001E79DC">
            <w:pPr>
              <w:pStyle w:val="ConsPlusNonformat"/>
              <w:jc w:val="both"/>
            </w:pPr>
            <w:r>
              <w:t>на муку, мука, крупы, бобовые)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157,2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122,7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99,0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lastRenderedPageBreak/>
              <w:t xml:space="preserve">Картофель          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 70,3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60,0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70,5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Овощи и бахчевые   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112,6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99,0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113,1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Фрукты свежие      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 60,0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45,0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118,1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Сахар и кондитерские изделия </w:t>
            </w:r>
            <w:proofErr w:type="gramStart"/>
            <w:r>
              <w:t>в</w:t>
            </w:r>
            <w:proofErr w:type="gramEnd"/>
          </w:p>
          <w:p w:rsidR="001E79DC" w:rsidRDefault="001E79DC">
            <w:pPr>
              <w:pStyle w:val="ConsPlusNonformat"/>
              <w:jc w:val="both"/>
            </w:pPr>
            <w:proofErr w:type="gramStart"/>
            <w:r>
              <w:t>пересчете</w:t>
            </w:r>
            <w:proofErr w:type="gramEnd"/>
            <w:r>
              <w:t xml:space="preserve"> на сахар 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 26,2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25,2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26,4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Мясопродукты       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 73,7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68,2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57,4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Рыбопродукты       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 35,1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31,0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28,4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Молоко  и   молокопродукты   </w:t>
            </w:r>
            <w:proofErr w:type="gramStart"/>
            <w:r>
              <w:t>в</w:t>
            </w:r>
            <w:proofErr w:type="gramEnd"/>
          </w:p>
          <w:p w:rsidR="001E79DC" w:rsidRDefault="001E79DC">
            <w:pPr>
              <w:pStyle w:val="ConsPlusNonformat"/>
              <w:jc w:val="both"/>
            </w:pPr>
            <w:proofErr w:type="gramStart"/>
            <w:r>
              <w:t>пересчете</w:t>
            </w:r>
            <w:proofErr w:type="gramEnd"/>
            <w:r>
              <w:t xml:space="preserve"> на молоко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</w:p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270,7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229,2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360,3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Яйца               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штук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260  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220  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226  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>Масло растительное, маргарин и</w:t>
            </w:r>
          </w:p>
          <w:p w:rsidR="001E79DC" w:rsidRDefault="001E79DC">
            <w:pPr>
              <w:pStyle w:val="ConsPlusNonformat"/>
              <w:jc w:val="both"/>
            </w:pPr>
            <w:r>
              <w:t xml:space="preserve">другие жиры        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 15,3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11,8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7,9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proofErr w:type="gramStart"/>
            <w:r>
              <w:t>Прочие  продукты  (соль,  чай,</w:t>
            </w:r>
            <w:proofErr w:type="gramEnd"/>
          </w:p>
          <w:p w:rsidR="001E79DC" w:rsidRDefault="001E79DC">
            <w:pPr>
              <w:pStyle w:val="ConsPlusNonformat"/>
              <w:jc w:val="both"/>
            </w:pPr>
            <w:r>
              <w:t xml:space="preserve">специи)            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  4,9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4,1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3,5 </w:t>
            </w:r>
          </w:p>
        </w:tc>
      </w:tr>
    </w:tbl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jc w:val="center"/>
        <w:outlineLvl w:val="1"/>
      </w:pPr>
      <w:r>
        <w:t>Вторая зона Республики Саха (Якутия)</w:t>
      </w:r>
    </w:p>
    <w:p w:rsidR="001E79DC" w:rsidRDefault="001E79D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36"/>
        <w:gridCol w:w="1353"/>
        <w:gridCol w:w="1968"/>
        <w:gridCol w:w="1476"/>
        <w:gridCol w:w="984"/>
      </w:tblGrid>
      <w:tr w:rsidR="001E79DC">
        <w:trPr>
          <w:trHeight w:val="252"/>
        </w:trPr>
        <w:tc>
          <w:tcPr>
            <w:tcW w:w="3936" w:type="dxa"/>
            <w:vMerge w:val="restart"/>
          </w:tcPr>
          <w:p w:rsidR="001E79DC" w:rsidRDefault="001E79DC">
            <w:pPr>
              <w:pStyle w:val="ConsPlusNonformat"/>
              <w:jc w:val="both"/>
            </w:pPr>
          </w:p>
          <w:p w:rsidR="001E79DC" w:rsidRDefault="001E79DC">
            <w:pPr>
              <w:pStyle w:val="ConsPlusNonformat"/>
              <w:jc w:val="both"/>
            </w:pPr>
          </w:p>
          <w:p w:rsidR="001E79DC" w:rsidRDefault="001E79DC">
            <w:pPr>
              <w:pStyle w:val="ConsPlusNonformat"/>
              <w:jc w:val="both"/>
            </w:pPr>
            <w:r>
              <w:t xml:space="preserve">         Наименование         </w:t>
            </w:r>
          </w:p>
        </w:tc>
        <w:tc>
          <w:tcPr>
            <w:tcW w:w="1353" w:type="dxa"/>
            <w:vMerge w:val="restart"/>
          </w:tcPr>
          <w:p w:rsidR="001E79DC" w:rsidRDefault="001E79DC">
            <w:pPr>
              <w:pStyle w:val="ConsPlusNonformat"/>
              <w:jc w:val="both"/>
            </w:pPr>
          </w:p>
          <w:p w:rsidR="001E79DC" w:rsidRDefault="001E79DC">
            <w:pPr>
              <w:pStyle w:val="ConsPlusNonformat"/>
              <w:jc w:val="both"/>
            </w:pPr>
            <w:r>
              <w:t xml:space="preserve"> Единица </w:t>
            </w:r>
          </w:p>
          <w:p w:rsidR="001E79DC" w:rsidRDefault="001E79DC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4428" w:type="dxa"/>
            <w:gridSpan w:val="3"/>
          </w:tcPr>
          <w:p w:rsidR="001E79DC" w:rsidRDefault="001E79DC">
            <w:pPr>
              <w:pStyle w:val="ConsPlusNonformat"/>
              <w:jc w:val="both"/>
            </w:pPr>
            <w:proofErr w:type="gramStart"/>
            <w:r>
              <w:t xml:space="preserve">Объем потребления (в среднем на </w:t>
            </w:r>
            <w:proofErr w:type="gramEnd"/>
          </w:p>
          <w:p w:rsidR="001E79DC" w:rsidRDefault="001E79DC">
            <w:pPr>
              <w:pStyle w:val="ConsPlusNonformat"/>
              <w:jc w:val="both"/>
            </w:pPr>
            <w:r>
              <w:t xml:space="preserve">     одного человека в год)     </w:t>
            </w:r>
          </w:p>
        </w:tc>
      </w:tr>
      <w:tr w:rsidR="001E79DC">
        <w:tc>
          <w:tcPr>
            <w:tcW w:w="3813" w:type="dxa"/>
            <w:vMerge/>
            <w:tcBorders>
              <w:top w:val="nil"/>
            </w:tcBorders>
          </w:tcPr>
          <w:p w:rsidR="001E79DC" w:rsidRDefault="001E79DC"/>
        </w:tc>
        <w:tc>
          <w:tcPr>
            <w:tcW w:w="1230" w:type="dxa"/>
            <w:vMerge/>
            <w:tcBorders>
              <w:top w:val="nil"/>
            </w:tcBorders>
          </w:tcPr>
          <w:p w:rsidR="001E79DC" w:rsidRDefault="001E79DC"/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>трудоспособное</w:t>
            </w:r>
          </w:p>
          <w:p w:rsidR="001E79DC" w:rsidRDefault="001E79DC">
            <w:pPr>
              <w:pStyle w:val="ConsPlusNonformat"/>
              <w:jc w:val="both"/>
            </w:pPr>
            <w:r>
              <w:t xml:space="preserve">  население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>пенсионеры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дети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proofErr w:type="gramStart"/>
            <w:r>
              <w:t>Хлебные   продукты   (хлеб   и</w:t>
            </w:r>
            <w:proofErr w:type="gramEnd"/>
          </w:p>
          <w:p w:rsidR="001E79DC" w:rsidRDefault="001E79DC">
            <w:pPr>
              <w:pStyle w:val="ConsPlusNonformat"/>
              <w:jc w:val="both"/>
            </w:pPr>
            <w:r>
              <w:t>макаронные изделия в пересчете</w:t>
            </w:r>
          </w:p>
          <w:p w:rsidR="001E79DC" w:rsidRDefault="001E79DC">
            <w:pPr>
              <w:pStyle w:val="ConsPlusNonformat"/>
              <w:jc w:val="both"/>
            </w:pPr>
            <w:r>
              <w:t>на муку, мука, крупы, бобовые)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134,4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107,2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82,0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Картофель          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 88,2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70,0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80,5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Овощи и бахчевые   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115,2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104,0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115,5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Фрукты свежие      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 60,0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45,0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118,1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Сахар и кондитерские изделия </w:t>
            </w:r>
            <w:proofErr w:type="gramStart"/>
            <w:r>
              <w:t>в</w:t>
            </w:r>
            <w:proofErr w:type="gramEnd"/>
          </w:p>
          <w:p w:rsidR="001E79DC" w:rsidRDefault="001E79DC">
            <w:pPr>
              <w:pStyle w:val="ConsPlusNonformat"/>
              <w:jc w:val="both"/>
            </w:pPr>
            <w:proofErr w:type="gramStart"/>
            <w:r>
              <w:t>пересчете</w:t>
            </w:r>
            <w:proofErr w:type="gramEnd"/>
            <w:r>
              <w:t xml:space="preserve"> на сахар 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 23,8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21,2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21,8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Мясопродукты       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 62,5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57,4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46,6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Рыбопродукты       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 33,1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28,0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27,8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Молоко  и   молокопродукты   </w:t>
            </w:r>
            <w:proofErr w:type="gramStart"/>
            <w:r>
              <w:t>в</w:t>
            </w:r>
            <w:proofErr w:type="gramEnd"/>
          </w:p>
          <w:p w:rsidR="001E79DC" w:rsidRDefault="001E79DC">
            <w:pPr>
              <w:pStyle w:val="ConsPlusNonformat"/>
              <w:jc w:val="both"/>
            </w:pPr>
            <w:proofErr w:type="gramStart"/>
            <w:r>
              <w:t>пересчете</w:t>
            </w:r>
            <w:proofErr w:type="gramEnd"/>
            <w:r>
              <w:t xml:space="preserve"> на молоко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269,8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233,3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360,3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Яйца               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штук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211  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200  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201  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>Масло растительное, маргарин и</w:t>
            </w:r>
          </w:p>
          <w:p w:rsidR="001E79DC" w:rsidRDefault="001E79DC">
            <w:pPr>
              <w:pStyle w:val="ConsPlusNonformat"/>
              <w:jc w:val="both"/>
            </w:pPr>
            <w:r>
              <w:t xml:space="preserve">другие жиры        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 12,7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9,6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6,1 </w:t>
            </w:r>
          </w:p>
        </w:tc>
      </w:tr>
      <w:tr w:rsidR="001E79DC">
        <w:trPr>
          <w:trHeight w:val="252"/>
        </w:trPr>
        <w:tc>
          <w:tcPr>
            <w:tcW w:w="393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proofErr w:type="gramStart"/>
            <w:r>
              <w:t>Прочие  продукты  (соль,  чай,</w:t>
            </w:r>
            <w:proofErr w:type="gramEnd"/>
          </w:p>
          <w:p w:rsidR="001E79DC" w:rsidRDefault="001E79DC">
            <w:pPr>
              <w:pStyle w:val="ConsPlusNonformat"/>
              <w:jc w:val="both"/>
            </w:pPr>
            <w:r>
              <w:t xml:space="preserve">специи)                       </w:t>
            </w:r>
          </w:p>
        </w:tc>
        <w:tc>
          <w:tcPr>
            <w:tcW w:w="1353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кг</w:t>
            </w:r>
            <w:proofErr w:type="gramEnd"/>
            <w:r>
              <w:t xml:space="preserve">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  4,9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4,1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3,5 </w:t>
            </w:r>
          </w:p>
        </w:tc>
      </w:tr>
    </w:tbl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ind w:firstLine="540"/>
        <w:jc w:val="both"/>
      </w:pPr>
      <w:r>
        <w:t>2. Устанавливаются следующие соотношения стоимости непродовольственных товаров и услуг со стоимостью продуктов питания (в процентах):</w:t>
      </w:r>
    </w:p>
    <w:p w:rsidR="001E79DC" w:rsidRDefault="001E79D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67"/>
        <w:gridCol w:w="1968"/>
        <w:gridCol w:w="1476"/>
        <w:gridCol w:w="984"/>
      </w:tblGrid>
      <w:tr w:rsidR="001E79DC">
        <w:trPr>
          <w:trHeight w:val="252"/>
        </w:trPr>
        <w:tc>
          <w:tcPr>
            <w:tcW w:w="3567" w:type="dxa"/>
          </w:tcPr>
          <w:p w:rsidR="001E79DC" w:rsidRDefault="001E79DC">
            <w:pPr>
              <w:pStyle w:val="ConsPlusNonformat"/>
              <w:jc w:val="both"/>
            </w:pPr>
            <w:r>
              <w:lastRenderedPageBreak/>
              <w:t xml:space="preserve">       Наименование        </w:t>
            </w:r>
          </w:p>
        </w:tc>
        <w:tc>
          <w:tcPr>
            <w:tcW w:w="1968" w:type="dxa"/>
          </w:tcPr>
          <w:p w:rsidR="001E79DC" w:rsidRDefault="001E79DC">
            <w:pPr>
              <w:pStyle w:val="ConsPlusNonformat"/>
              <w:jc w:val="both"/>
            </w:pPr>
            <w:r>
              <w:t>Трудоспособное</w:t>
            </w:r>
          </w:p>
          <w:p w:rsidR="001E79DC" w:rsidRDefault="001E79DC">
            <w:pPr>
              <w:pStyle w:val="ConsPlusNonformat"/>
              <w:jc w:val="both"/>
            </w:pPr>
            <w:r>
              <w:t xml:space="preserve">  население   </w:t>
            </w:r>
          </w:p>
        </w:tc>
        <w:tc>
          <w:tcPr>
            <w:tcW w:w="1476" w:type="dxa"/>
          </w:tcPr>
          <w:p w:rsidR="001E79DC" w:rsidRDefault="001E79DC">
            <w:pPr>
              <w:pStyle w:val="ConsPlusNonformat"/>
              <w:jc w:val="both"/>
            </w:pPr>
            <w:r>
              <w:t>Пенсионеры</w:t>
            </w:r>
          </w:p>
        </w:tc>
        <w:tc>
          <w:tcPr>
            <w:tcW w:w="984" w:type="dxa"/>
          </w:tcPr>
          <w:p w:rsidR="001E79DC" w:rsidRDefault="001E79DC">
            <w:pPr>
              <w:pStyle w:val="ConsPlusNonformat"/>
              <w:jc w:val="both"/>
            </w:pPr>
            <w:r>
              <w:t xml:space="preserve"> Дети </w:t>
            </w:r>
          </w:p>
        </w:tc>
      </w:tr>
      <w:tr w:rsidR="001E79DC">
        <w:trPr>
          <w:trHeight w:val="252"/>
        </w:trPr>
        <w:tc>
          <w:tcPr>
            <w:tcW w:w="3567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Непродовольственные товары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  50 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50 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50  </w:t>
            </w:r>
          </w:p>
        </w:tc>
      </w:tr>
      <w:tr w:rsidR="001E79DC">
        <w:trPr>
          <w:trHeight w:val="252"/>
        </w:trPr>
        <w:tc>
          <w:tcPr>
            <w:tcW w:w="3567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Услуги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  60      </w:t>
            </w:r>
          </w:p>
        </w:tc>
        <w:tc>
          <w:tcPr>
            <w:tcW w:w="1476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  60    </w:t>
            </w:r>
          </w:p>
        </w:tc>
        <w:tc>
          <w:tcPr>
            <w:tcW w:w="984" w:type="dxa"/>
            <w:tcBorders>
              <w:top w:val="nil"/>
            </w:tcBorders>
          </w:tcPr>
          <w:p w:rsidR="001E79DC" w:rsidRDefault="001E79DC">
            <w:pPr>
              <w:pStyle w:val="ConsPlusNonformat"/>
              <w:jc w:val="both"/>
            </w:pPr>
            <w:r>
              <w:t xml:space="preserve">  60  </w:t>
            </w:r>
          </w:p>
        </w:tc>
      </w:tr>
    </w:tbl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ind w:firstLine="540"/>
        <w:jc w:val="both"/>
        <w:outlineLvl w:val="0"/>
      </w:pPr>
      <w:r>
        <w:t>Статья 5. Признание утратившими силу отдельных законодательных актов Республики Саха (Якутия)</w:t>
      </w:r>
    </w:p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ind w:firstLine="540"/>
        <w:jc w:val="both"/>
      </w:pPr>
      <w:r>
        <w:t>Признать утратившими силу:</w:t>
      </w:r>
    </w:p>
    <w:p w:rsidR="001E79DC" w:rsidRDefault="001E79DC">
      <w:pPr>
        <w:pStyle w:val="ConsPlusNormal"/>
        <w:spacing w:before="26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Закон</w:t>
        </w:r>
      </w:hyperlink>
      <w:r>
        <w:t xml:space="preserve"> Республики Саха (Якутия) от 15 июня 2002 года 18-З N 367-II "О потребительской корзине в Республике Саха (Якутия)";</w:t>
      </w:r>
    </w:p>
    <w:p w:rsidR="001E79DC" w:rsidRDefault="001E79DC">
      <w:pPr>
        <w:pStyle w:val="ConsPlusNormal"/>
        <w:spacing w:before="26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Закон</w:t>
        </w:r>
      </w:hyperlink>
      <w:r>
        <w:t xml:space="preserve"> Республики Саха (Якутия) от 25 января 2006 года 311-З N 631-III "О внесении дополнения в статью 2 Закона Республики Саха (Якутия) "О потребительской корзине в Республике Саха (Якутия)";</w:t>
      </w:r>
    </w:p>
    <w:p w:rsidR="001E79DC" w:rsidRDefault="001E79DC">
      <w:pPr>
        <w:pStyle w:val="ConsPlusNormal"/>
        <w:spacing w:before="26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Закон</w:t>
        </w:r>
      </w:hyperlink>
      <w:r>
        <w:t xml:space="preserve"> Республики Саха (Якутия) от 12 июля 2007 года 492-З N 999-III "О потребительской корзине в Республике Саха (Якутия)".</w:t>
      </w:r>
    </w:p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jc w:val="right"/>
      </w:pPr>
      <w:r>
        <w:t>Президент</w:t>
      </w:r>
    </w:p>
    <w:p w:rsidR="001E79DC" w:rsidRDefault="001E79DC">
      <w:pPr>
        <w:pStyle w:val="ConsPlusNormal"/>
        <w:jc w:val="right"/>
      </w:pPr>
      <w:r>
        <w:t>Республики Саха (Якутия)</w:t>
      </w:r>
    </w:p>
    <w:p w:rsidR="001E79DC" w:rsidRDefault="001E79DC">
      <w:pPr>
        <w:pStyle w:val="ConsPlusNormal"/>
        <w:jc w:val="right"/>
      </w:pPr>
      <w:r>
        <w:t>Е.БОРИСОВ</w:t>
      </w:r>
    </w:p>
    <w:p w:rsidR="001E79DC" w:rsidRDefault="001E79DC">
      <w:pPr>
        <w:pStyle w:val="ConsPlusNormal"/>
      </w:pPr>
      <w:r>
        <w:t>г. Якутск</w:t>
      </w:r>
    </w:p>
    <w:p w:rsidR="001E79DC" w:rsidRDefault="001E79DC">
      <w:pPr>
        <w:pStyle w:val="ConsPlusNormal"/>
        <w:spacing w:before="260"/>
      </w:pPr>
      <w:r>
        <w:t>5 декабря 2013 года</w:t>
      </w:r>
    </w:p>
    <w:p w:rsidR="001E79DC" w:rsidRDefault="001E79DC">
      <w:pPr>
        <w:pStyle w:val="ConsPlusNormal"/>
        <w:spacing w:before="260"/>
      </w:pPr>
      <w:r>
        <w:t>1237-З N 29-V</w:t>
      </w:r>
    </w:p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jc w:val="both"/>
      </w:pPr>
    </w:p>
    <w:p w:rsidR="001E79DC" w:rsidRDefault="001E79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375" w:rsidRDefault="001E79DC"/>
    <w:sectPr w:rsidR="00001375" w:rsidSect="000F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E79DC"/>
    <w:rsid w:val="00061C3D"/>
    <w:rsid w:val="000F0973"/>
    <w:rsid w:val="00172129"/>
    <w:rsid w:val="001E79DC"/>
    <w:rsid w:val="007C3171"/>
    <w:rsid w:val="008E0092"/>
    <w:rsid w:val="008F40E2"/>
    <w:rsid w:val="00A32582"/>
    <w:rsid w:val="00A7444C"/>
    <w:rsid w:val="00AD1171"/>
    <w:rsid w:val="00C713A1"/>
    <w:rsid w:val="00C75F95"/>
    <w:rsid w:val="00D92476"/>
    <w:rsid w:val="00EB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E2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E2"/>
    <w:pPr>
      <w:ind w:left="720"/>
      <w:contextualSpacing/>
    </w:pPr>
  </w:style>
  <w:style w:type="paragraph" w:customStyle="1" w:styleId="ConsPlusNormal">
    <w:name w:val="ConsPlusNormal"/>
    <w:rsid w:val="001E7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1E7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1E7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76A695AEEC67D18FEBCC00B3793639EC2F42FB837F8E8209DD33B6FfFv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176A695AEEC67D18FEBCC00B3793639DCCF52CBB35F8E8209DD33B6FfFv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176A695AEEC67D18FEBCC00B3793639DCCF52CBB32F8E8209DD33B6FF803766912BAf2v6G" TargetMode="External"/><Relationship Id="rId11" Type="http://schemas.openxmlformats.org/officeDocument/2006/relationships/hyperlink" Target="consultantplus://offline/ref=1D176A695AEEC67D18FEA2CD1D5BCF6A96CFAD24BE33FBBB7BC2886638F10921f2vEG" TargetMode="External"/><Relationship Id="rId5" Type="http://schemas.openxmlformats.org/officeDocument/2006/relationships/hyperlink" Target="consultantplus://offline/ref=1D176A695AEEC67D18FEA2CD1D5BCF6A96CFAD24BB33F2BC75C2886638F109212E5DE36735FBD0671CE084f8vDG" TargetMode="External"/><Relationship Id="rId10" Type="http://schemas.openxmlformats.org/officeDocument/2006/relationships/hyperlink" Target="consultantplus://offline/ref=1D176A695AEEC67D18FEA2CD1D5BCF6A96CFAD24B738F4BC779F826E61FD0Bf2v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176A695AEEC67D18FEA2CD1D5BCF6A96CFAD24B738F4B9779F826E61FD0Bf2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1216</Words>
  <Characters>6932</Characters>
  <Application>Microsoft Office Word</Application>
  <DocSecurity>0</DocSecurity>
  <Lines>57</Lines>
  <Paragraphs>16</Paragraphs>
  <ScaleCrop>false</ScaleCrop>
  <Company>Саха(Якутия)стат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P14_PetrovaSA</dc:creator>
  <cp:keywords/>
  <dc:description/>
  <cp:lastModifiedBy>P14_PetrovaSA</cp:lastModifiedBy>
  <cp:revision>1</cp:revision>
  <dcterms:created xsi:type="dcterms:W3CDTF">2018-03-05T06:47:00Z</dcterms:created>
  <dcterms:modified xsi:type="dcterms:W3CDTF">2018-03-05T06:49:00Z</dcterms:modified>
</cp:coreProperties>
</file>